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FF5" w:rsidRPr="00811FF5" w:rsidRDefault="00811FF5" w:rsidP="00811F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D213 Макропористая анионообменная смола на основе акриловой кислоты</w:t>
      </w:r>
    </w:p>
    <w:bookmarkEnd w:id="0"/>
    <w:p w:rsidR="00811FF5" w:rsidRPr="00811FF5" w:rsidRDefault="00811FF5" w:rsidP="00811F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D213 представляет собой макропористую анионообменную смолу на основе акриловой кислоты и сильного основания. В результате продолжительных исследований и оптимизации процессов смола обладает высокой устойчивостью к органическим загрязнениям, эффективностью регенерации, высокой рабочей обменной ёмкостью, хорошей устойчивостью к проникновению, а также хорошими свойствами для обессоливания и обесцвечивания.</w:t>
      </w:r>
    </w:p>
    <w:p w:rsidR="00811FF5" w:rsidRPr="00811FF5" w:rsidRDefault="00811FF5" w:rsidP="00811F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Физико-химические свойства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0"/>
        <w:gridCol w:w="3929"/>
      </w:tblGrid>
      <w:tr w:rsidR="00811FF5" w:rsidRPr="00811FF5" w:rsidTr="00811F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65-72%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Обменная ёмкость сильного основания (</w:t>
            </w:r>
            <w:proofErr w:type="spellStart"/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/г)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≥3.5 (≤1.0 для слабого основания)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ёмкость, влажная, объемная (</w:t>
            </w:r>
            <w:proofErr w:type="spellStart"/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/мл)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≥0.8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при отгрузке (г/мл)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0.65 - 0.73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 (г/мл)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1.04 - 1.10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Диапазон размеров частиц (0.315-1.25 мм)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≥95%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однородности, макс.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≤1.6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Обратимое набухание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≤25%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 гранул, мин.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≥90%</w:t>
            </w:r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Ионная форма при поставке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proofErr w:type="spellEnd"/>
          </w:p>
        </w:tc>
      </w:tr>
      <w:tr w:rsidR="00811FF5" w:rsidRPr="00811FF5" w:rsidTr="00811F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и внешний вид</w:t>
            </w:r>
          </w:p>
        </w:tc>
        <w:tc>
          <w:tcPr>
            <w:tcW w:w="0" w:type="auto"/>
            <w:vAlign w:val="center"/>
            <w:hideMark/>
          </w:tcPr>
          <w:p w:rsidR="00811FF5" w:rsidRPr="00811FF5" w:rsidRDefault="00811FF5" w:rsidP="00811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1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молочно-белые сферические гранулы</w:t>
            </w:r>
          </w:p>
        </w:tc>
      </w:tr>
    </w:tbl>
    <w:p w:rsidR="00811FF5" w:rsidRPr="00811FF5" w:rsidRDefault="00811FF5" w:rsidP="00811F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Рекомендуемые условия эксплуатации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Диапазон </w:t>
      </w:r>
      <w:proofErr w:type="spellStart"/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pH</w:t>
      </w:r>
      <w:proofErr w:type="spellEnd"/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0–14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Максимальная температура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≤60°C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Концентрация регенерата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NaOH</w:t>
      </w:r>
      <w:proofErr w:type="spellEnd"/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0,2-0,5% + </w:t>
      </w:r>
      <w:proofErr w:type="spellStart"/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NaCl</w:t>
      </w:r>
      <w:proofErr w:type="spellEnd"/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8-10%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Дозировка регенерата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объем смолы = 2–3:1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потока регенерата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4–6 м/ч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контакта регенерата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30–50 минут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промывки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15–25 м/ч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промывки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30–60 минут</w:t>
      </w:r>
    </w:p>
    <w:p w:rsidR="00811FF5" w:rsidRPr="00811FF5" w:rsidRDefault="00811FF5" w:rsidP="00811F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рабочего потока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t>: 3–10 м/ч</w:t>
      </w:r>
    </w:p>
    <w:p w:rsidR="00811FF5" w:rsidRPr="00811FF5" w:rsidRDefault="00811FF5" w:rsidP="00811F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Применение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Используется для очистки воды, извлечения веществ в фармацевтической отрасли, а также для обесцвечивания сахарных растворов в исходной воде с высоким содержанием органических веществ.</w:t>
      </w:r>
    </w:p>
    <w:p w:rsidR="00811FF5" w:rsidRPr="00811FF5" w:rsidRDefault="00811FF5" w:rsidP="00811F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Упаковка</w:t>
      </w:r>
      <w:r w:rsidRPr="00811F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Полиэтиленовый пакет с подкладкой из полипропилена, 25 кг.</w:t>
      </w:r>
    </w:p>
    <w:p w:rsidR="000A2776" w:rsidRDefault="000A2776"/>
    <w:sectPr w:rsidR="000A2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B4604"/>
    <w:multiLevelType w:val="multilevel"/>
    <w:tmpl w:val="769CC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0374C"/>
    <w:multiLevelType w:val="multilevel"/>
    <w:tmpl w:val="564C01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C16"/>
    <w:rsid w:val="000A2776"/>
    <w:rsid w:val="005F7C16"/>
    <w:rsid w:val="0081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5A6FB-3E2D-446B-AED2-CDF986BA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7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>diakov.net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</dc:creator>
  <cp:keywords/>
  <dc:description/>
  <cp:lastModifiedBy>Im</cp:lastModifiedBy>
  <cp:revision>3</cp:revision>
  <dcterms:created xsi:type="dcterms:W3CDTF">2024-11-12T12:32:00Z</dcterms:created>
  <dcterms:modified xsi:type="dcterms:W3CDTF">2024-11-12T12:32:00Z</dcterms:modified>
</cp:coreProperties>
</file>